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5BAF" w:rsidRPr="00A43ED8" w:rsidRDefault="005E5BAF" w:rsidP="005E5BAF">
      <w:pPr>
        <w:spacing w:line="480" w:lineRule="auto"/>
        <w:rPr>
          <w:b/>
          <w:bCs/>
          <w:lang w:val="en-GB"/>
        </w:rPr>
      </w:pPr>
      <w:bookmarkStart w:id="0" w:name="_GoBack"/>
      <w:bookmarkEnd w:id="0"/>
      <w:r w:rsidRPr="00A43ED8">
        <w:rPr>
          <w:b/>
          <w:bCs/>
          <w:lang w:val="en-GB"/>
        </w:rPr>
        <w:t>Supporting information</w:t>
      </w:r>
    </w:p>
    <w:p w:rsidR="005E5BAF" w:rsidRPr="00A43ED8" w:rsidRDefault="005E5BAF" w:rsidP="005E5BAF">
      <w:pPr>
        <w:pStyle w:val="NoSpacing"/>
        <w:spacing w:line="480" w:lineRule="auto"/>
        <w:jc w:val="center"/>
        <w:rPr>
          <w:b/>
          <w:sz w:val="24"/>
          <w:szCs w:val="24"/>
          <w:lang w:val="en-GB"/>
        </w:rPr>
      </w:pPr>
      <w:r w:rsidRPr="00A43ED8">
        <w:rPr>
          <w:b/>
          <w:sz w:val="24"/>
          <w:szCs w:val="24"/>
          <w:lang w:val="en-GB"/>
        </w:rPr>
        <w:t xml:space="preserve">Genome description of the endangered pen shell </w:t>
      </w:r>
      <w:r w:rsidRPr="00A43ED8">
        <w:rPr>
          <w:b/>
          <w:i/>
          <w:sz w:val="24"/>
          <w:szCs w:val="24"/>
          <w:lang w:val="en-GB"/>
        </w:rPr>
        <w:t>Pinna nobilis</w:t>
      </w:r>
      <w:r w:rsidRPr="00A43ED8">
        <w:rPr>
          <w:b/>
          <w:sz w:val="24"/>
          <w:szCs w:val="24"/>
          <w:lang w:val="en-GB"/>
        </w:rPr>
        <w:t xml:space="preserve"> : a giant bivalve experiencing a mass mortality event</w:t>
      </w:r>
    </w:p>
    <w:p w:rsidR="005E5BAF" w:rsidRPr="00A43ED8" w:rsidRDefault="005E5BAF" w:rsidP="005E5BAF">
      <w:pPr>
        <w:spacing w:line="480" w:lineRule="auto"/>
        <w:jc w:val="center"/>
        <w:rPr>
          <w:color w:val="000000" w:themeColor="text1"/>
          <w:vertAlign w:val="superscript"/>
          <w:lang w:val="en-GB"/>
        </w:rPr>
      </w:pPr>
      <w:r w:rsidRPr="00A43ED8">
        <w:rPr>
          <w:color w:val="000000" w:themeColor="text1"/>
          <w:lang w:val="en-GB"/>
        </w:rPr>
        <w:t>Robert Bunet</w:t>
      </w:r>
      <w:r w:rsidRPr="00A43ED8">
        <w:rPr>
          <w:color w:val="000000" w:themeColor="text1"/>
          <w:vertAlign w:val="superscript"/>
          <w:lang w:val="en-GB"/>
        </w:rPr>
        <w:t>1</w:t>
      </w:r>
      <w:r w:rsidRPr="00A43ED8">
        <w:rPr>
          <w:rFonts w:cstheme="minorHAnsi"/>
          <w:color w:val="000000" w:themeColor="text1"/>
          <w:vertAlign w:val="superscript"/>
          <w:lang w:val="en-GB"/>
        </w:rPr>
        <w:t>†*</w:t>
      </w:r>
      <w:r w:rsidRPr="00A43ED8">
        <w:rPr>
          <w:color w:val="000000" w:themeColor="text1"/>
          <w:lang w:val="en-GB"/>
        </w:rPr>
        <w:t xml:space="preserve">, </w:t>
      </w:r>
      <w:r w:rsidRPr="00A43ED8">
        <w:rPr>
          <w:lang w:val="en-GB"/>
        </w:rPr>
        <w:t>Jean-Marc Prévot</w:t>
      </w:r>
      <w:r w:rsidRPr="00A43ED8">
        <w:rPr>
          <w:vertAlign w:val="superscript"/>
          <w:lang w:val="en-GB"/>
        </w:rPr>
        <w:t>2</w:t>
      </w:r>
      <w:r w:rsidRPr="00A43ED8">
        <w:rPr>
          <w:lang w:val="en-GB"/>
        </w:rPr>
        <w:t>, Nardo Vicente</w:t>
      </w:r>
      <w:r w:rsidRPr="00A43ED8">
        <w:rPr>
          <w:vertAlign w:val="superscript"/>
          <w:lang w:val="en-GB"/>
        </w:rPr>
        <w:t>1,3</w:t>
      </w:r>
      <w:r w:rsidRPr="00A43ED8">
        <w:rPr>
          <w:lang w:val="en-GB"/>
        </w:rPr>
        <w:t>, José Rafa García-March</w:t>
      </w:r>
      <w:r w:rsidRPr="00A43ED8">
        <w:rPr>
          <w:vertAlign w:val="superscript"/>
          <w:lang w:val="en-GB"/>
        </w:rPr>
        <w:t>4</w:t>
      </w:r>
      <w:r w:rsidRPr="00A43ED8">
        <w:rPr>
          <w:lang w:val="en-GB"/>
        </w:rPr>
        <w:t>, Rajko Martinović</w:t>
      </w:r>
      <w:r w:rsidRPr="00A43ED8">
        <w:rPr>
          <w:vertAlign w:val="superscript"/>
          <w:lang w:val="en-GB"/>
        </w:rPr>
        <w:t>5</w:t>
      </w:r>
      <w:r w:rsidRPr="00A43ED8">
        <w:rPr>
          <w:lang w:val="en-GB"/>
        </w:rPr>
        <w:t>, José Tena-Medialdea</w:t>
      </w:r>
      <w:r w:rsidRPr="00A43ED8">
        <w:rPr>
          <w:vertAlign w:val="superscript"/>
          <w:lang w:val="en-GB"/>
        </w:rPr>
        <w:t>4</w:t>
      </w:r>
      <w:r w:rsidRPr="00A43ED8">
        <w:rPr>
          <w:lang w:val="en-GB"/>
        </w:rPr>
        <w:t>, Danijela Joksimovic</w:t>
      </w:r>
      <w:r w:rsidRPr="00A43ED8">
        <w:rPr>
          <w:vertAlign w:val="superscript"/>
          <w:lang w:val="en-GB"/>
        </w:rPr>
        <w:t>5</w:t>
      </w:r>
      <w:r w:rsidRPr="00A43ED8">
        <w:rPr>
          <w:lang w:val="en-GB"/>
        </w:rPr>
        <w:t>, Jean-Luc Bonnefont</w:t>
      </w:r>
      <w:r w:rsidRPr="00A43ED8">
        <w:rPr>
          <w:vertAlign w:val="superscript"/>
          <w:lang w:val="en-GB"/>
        </w:rPr>
        <w:t>1</w:t>
      </w:r>
      <w:r w:rsidRPr="00A43ED8">
        <w:rPr>
          <w:lang w:val="en-GB"/>
        </w:rPr>
        <w:t xml:space="preserve">, </w:t>
      </w:r>
      <w:r w:rsidRPr="00A43ED8">
        <w:rPr>
          <w:color w:val="000000" w:themeColor="text1"/>
          <w:lang w:val="en-GB"/>
        </w:rPr>
        <w:t>Stéphane Coupé</w:t>
      </w:r>
      <w:r w:rsidRPr="00A43ED8">
        <w:rPr>
          <w:color w:val="000000" w:themeColor="text1"/>
          <w:vertAlign w:val="superscript"/>
          <w:lang w:val="en-GB"/>
        </w:rPr>
        <w:t>6</w:t>
      </w:r>
      <w:r w:rsidRPr="00A43ED8">
        <w:rPr>
          <w:rFonts w:cstheme="minorHAnsi"/>
          <w:color w:val="000000" w:themeColor="text1"/>
          <w:vertAlign w:val="superscript"/>
          <w:lang w:val="en-GB"/>
        </w:rPr>
        <w:t>†*</w:t>
      </w: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38139E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i/>
          <w:iCs/>
          <w:lang w:val="en-GB"/>
        </w:rPr>
      </w:pPr>
    </w:p>
    <w:p w:rsidR="005E5BAF" w:rsidRPr="00A43ED8" w:rsidRDefault="005E5BAF" w:rsidP="005E5BAF">
      <w:pPr>
        <w:spacing w:line="480" w:lineRule="auto"/>
        <w:jc w:val="both"/>
        <w:rPr>
          <w:lang w:val="en-GB"/>
        </w:rPr>
      </w:pPr>
      <w:r w:rsidRPr="00A43ED8">
        <w:rPr>
          <w:noProof/>
          <w:lang w:eastAsia="fr-FR"/>
        </w:rPr>
        <w:drawing>
          <wp:inline distT="0" distB="0" distL="0" distR="0" wp14:anchorId="2C131FA5" wp14:editId="74B1C7B8">
            <wp:extent cx="5760720" cy="2545715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4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BAF" w:rsidRPr="00A43ED8" w:rsidRDefault="005E5BAF" w:rsidP="005E5BAF">
      <w:pPr>
        <w:spacing w:line="480" w:lineRule="auto"/>
        <w:jc w:val="both"/>
        <w:rPr>
          <w:b/>
          <w:color w:val="00B0F0"/>
          <w:lang w:val="en-GB"/>
        </w:rPr>
      </w:pPr>
      <w:r w:rsidRPr="00A43ED8">
        <w:rPr>
          <w:b/>
          <w:color w:val="00B0F0"/>
          <w:lang w:val="en-GB"/>
        </w:rPr>
        <w:t>Fig. S1. Sequencing quality check and GC content</w:t>
      </w:r>
    </w:p>
    <w:p w:rsidR="005E5BAF" w:rsidRPr="00A43ED8" w:rsidRDefault="005E5BAF" w:rsidP="005E5BAF">
      <w:pPr>
        <w:spacing w:line="480" w:lineRule="auto"/>
        <w:jc w:val="both"/>
        <w:rPr>
          <w:color w:val="00B0F0"/>
          <w:sz w:val="20"/>
          <w:lang w:val="en-GB"/>
        </w:rPr>
      </w:pPr>
      <w:r w:rsidRPr="00A43ED8">
        <w:rPr>
          <w:color w:val="00B0F0"/>
          <w:sz w:val="20"/>
          <w:lang w:val="en-GB"/>
        </w:rPr>
        <w:t>Left : Q-score distribution data from the sample. Mean quality score is 36.46. Right : distribution of GC-content in the sequencing sample.</w:t>
      </w:r>
    </w:p>
    <w:p w:rsidR="005E5BAF" w:rsidRPr="00A43ED8" w:rsidRDefault="005E5BAF" w:rsidP="005E5BAF">
      <w:pPr>
        <w:spacing w:line="480" w:lineRule="auto"/>
        <w:jc w:val="both"/>
        <w:rPr>
          <w:lang w:val="en-GB"/>
        </w:rPr>
      </w:pPr>
    </w:p>
    <w:p w:rsidR="005E5BAF" w:rsidRPr="00A43ED8" w:rsidRDefault="005E5BAF" w:rsidP="005E5BAF">
      <w:pPr>
        <w:spacing w:line="480" w:lineRule="auto"/>
        <w:jc w:val="center"/>
        <w:rPr>
          <w:lang w:val="en-GB"/>
        </w:rPr>
      </w:pPr>
      <w:r w:rsidRPr="00A43ED8">
        <w:rPr>
          <w:noProof/>
          <w:lang w:eastAsia="fr-FR"/>
        </w:rPr>
        <w:lastRenderedPageBreak/>
        <w:drawing>
          <wp:inline distT="0" distB="0" distL="0" distR="0" wp14:anchorId="6347C252" wp14:editId="52F6B3F5">
            <wp:extent cx="5380898" cy="2615121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414" cy="261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BAF" w:rsidRPr="00A43ED8" w:rsidRDefault="005E5BAF" w:rsidP="005E5BAF">
      <w:pPr>
        <w:spacing w:line="480" w:lineRule="auto"/>
        <w:rPr>
          <w:b/>
          <w:color w:val="00B0F0"/>
          <w:lang w:val="en-GB"/>
        </w:rPr>
      </w:pPr>
      <w:r w:rsidRPr="00A43ED8">
        <w:rPr>
          <w:b/>
          <w:color w:val="00B0F0"/>
          <w:lang w:val="en-GB"/>
        </w:rPr>
        <w:t>Figure S2. k-mer frequency distribution profile</w:t>
      </w:r>
    </w:p>
    <w:p w:rsidR="005E5BAF" w:rsidRPr="00A43ED8" w:rsidRDefault="005E5BAF" w:rsidP="005E5BAF">
      <w:pPr>
        <w:spacing w:line="480" w:lineRule="auto"/>
        <w:jc w:val="both"/>
        <w:rPr>
          <w:color w:val="00B0F0"/>
          <w:lang w:val="en-GB"/>
        </w:rPr>
      </w:pPr>
      <w:r w:rsidRPr="00A43ED8">
        <w:rPr>
          <w:color w:val="00B0F0"/>
          <w:lang w:val="en-GB"/>
        </w:rPr>
        <w:t>This profile has been obtained using Genomescope (</w:t>
      </w:r>
      <w:hyperlink r:id="rId6" w:history="1">
        <w:r w:rsidRPr="00A43ED8">
          <w:rPr>
            <w:rStyle w:val="Hyperlink"/>
            <w:lang w:val="en-GB"/>
          </w:rPr>
          <w:t>http://qb.cshl.edu/genomescope/</w:t>
        </w:r>
      </w:hyperlink>
      <w:r w:rsidRPr="00A43ED8">
        <w:rPr>
          <w:color w:val="00B0F0"/>
          <w:lang w:val="en-GB"/>
        </w:rPr>
        <w:t xml:space="preserve">), based on the histogram data generated with JELLYFISH, for an optimal k-mer size = 23. The two peaks observed at 21X and 40X coverages account for the proportion of heterozygous and homozygous regions, respectively. </w:t>
      </w:r>
    </w:p>
    <w:p w:rsidR="005E5BAF" w:rsidRPr="00A43ED8" w:rsidRDefault="005E5BAF" w:rsidP="005E5BAF">
      <w:pPr>
        <w:spacing w:line="480" w:lineRule="auto"/>
        <w:jc w:val="both"/>
        <w:rPr>
          <w:color w:val="00B0F0"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color w:val="00B0F0"/>
          <w:lang w:val="en-GB"/>
        </w:rPr>
      </w:pPr>
      <w:r w:rsidRPr="00A43ED8">
        <w:rPr>
          <w:bCs/>
          <w:color w:val="00B0F0"/>
          <w:lang w:val="en-GB"/>
        </w:rPr>
        <w:t xml:space="preserve">Table S1. Summary NGS data, statistics and quality of the assembly. </w:t>
      </w:r>
    </w:p>
    <w:tbl>
      <w:tblPr>
        <w:tblStyle w:val="Grilledetableauclaire1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363"/>
        <w:gridCol w:w="2263"/>
      </w:tblGrid>
      <w:tr w:rsidR="005E5BAF" w:rsidRPr="00A43ED8" w:rsidTr="005E5BAF">
        <w:tc>
          <w:tcPr>
            <w:tcW w:w="1812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A43ED8">
              <w:rPr>
                <w:b/>
                <w:bCs/>
                <w:color w:val="000000" w:themeColor="text1"/>
                <w:lang w:val="en-GB"/>
              </w:rPr>
              <w:t xml:space="preserve">Clusters </w:t>
            </w:r>
            <w:r w:rsidRPr="00A43ED8">
              <w:rPr>
                <w:bCs/>
                <w:color w:val="000000" w:themeColor="text1"/>
                <w:lang w:val="en-GB"/>
              </w:rPr>
              <w:t>(Raw)</w:t>
            </w:r>
          </w:p>
        </w:tc>
        <w:tc>
          <w:tcPr>
            <w:tcW w:w="1812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A43ED8">
              <w:rPr>
                <w:b/>
                <w:bCs/>
                <w:color w:val="000000" w:themeColor="text1"/>
                <w:lang w:val="en-GB"/>
              </w:rPr>
              <w:t xml:space="preserve">Clusters </w:t>
            </w:r>
            <w:r w:rsidRPr="00A43ED8">
              <w:rPr>
                <w:bCs/>
                <w:color w:val="000000" w:themeColor="text1"/>
                <w:lang w:val="en-GB"/>
              </w:rPr>
              <w:t>(PF)</w:t>
            </w:r>
          </w:p>
        </w:tc>
        <w:tc>
          <w:tcPr>
            <w:tcW w:w="1812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A43ED8">
              <w:rPr>
                <w:b/>
                <w:bCs/>
                <w:color w:val="000000" w:themeColor="text1"/>
                <w:lang w:val="en-GB"/>
              </w:rPr>
              <w:t xml:space="preserve">Yield </w:t>
            </w:r>
            <w:r w:rsidRPr="00A43ED8">
              <w:rPr>
                <w:bCs/>
                <w:color w:val="000000" w:themeColor="text1"/>
                <w:lang w:val="en-GB"/>
              </w:rPr>
              <w:t>(MBases)</w:t>
            </w:r>
          </w:p>
        </w:tc>
        <w:tc>
          <w:tcPr>
            <w:tcW w:w="1363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A43ED8">
              <w:rPr>
                <w:b/>
                <w:bCs/>
                <w:color w:val="000000" w:themeColor="text1"/>
                <w:lang w:val="en-GB"/>
              </w:rPr>
              <w:t>% &gt;=Q30</w:t>
            </w:r>
          </w:p>
        </w:tc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A43ED8">
              <w:rPr>
                <w:b/>
                <w:bCs/>
                <w:color w:val="000000" w:themeColor="text1"/>
                <w:lang w:val="en-GB"/>
              </w:rPr>
              <w:t>Mean quality score</w:t>
            </w:r>
          </w:p>
        </w:tc>
      </w:tr>
      <w:tr w:rsidR="005E5BAF" w:rsidRPr="00A43ED8" w:rsidTr="005E5BAF">
        <w:tc>
          <w:tcPr>
            <w:tcW w:w="1812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  <w:color w:val="000000" w:themeColor="text1"/>
                <w:lang w:val="en-GB"/>
              </w:rPr>
            </w:pPr>
            <w:r w:rsidRPr="00A43ED8">
              <w:rPr>
                <w:bCs/>
                <w:color w:val="000000" w:themeColor="text1"/>
                <w:lang w:val="en-GB"/>
              </w:rPr>
              <w:t>1,242,422,208</w:t>
            </w:r>
          </w:p>
        </w:tc>
        <w:tc>
          <w:tcPr>
            <w:tcW w:w="1812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  <w:color w:val="000000" w:themeColor="text1"/>
                <w:lang w:val="en-GB"/>
              </w:rPr>
            </w:pPr>
            <w:r w:rsidRPr="00A43ED8">
              <w:rPr>
                <w:bCs/>
                <w:color w:val="000000" w:themeColor="text1"/>
                <w:lang w:val="en-GB"/>
              </w:rPr>
              <w:t>7,92,312,851</w:t>
            </w:r>
          </w:p>
        </w:tc>
        <w:tc>
          <w:tcPr>
            <w:tcW w:w="1812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  <w:color w:val="000000" w:themeColor="text1"/>
                <w:lang w:val="en-GB"/>
              </w:rPr>
            </w:pPr>
            <w:r w:rsidRPr="00A43ED8">
              <w:rPr>
                <w:bCs/>
                <w:color w:val="000000" w:themeColor="text1"/>
                <w:lang w:val="en-GB"/>
              </w:rPr>
              <w:t>239,278</w:t>
            </w:r>
          </w:p>
        </w:tc>
        <w:tc>
          <w:tcPr>
            <w:tcW w:w="1363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  <w:color w:val="000000" w:themeColor="text1"/>
                <w:lang w:val="en-GB"/>
              </w:rPr>
            </w:pPr>
            <w:r w:rsidRPr="00A43ED8">
              <w:rPr>
                <w:bCs/>
                <w:color w:val="000000" w:themeColor="text1"/>
                <w:lang w:val="en-GB"/>
              </w:rPr>
              <w:t>85,63</w:t>
            </w:r>
          </w:p>
        </w:tc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  <w:color w:val="000000" w:themeColor="text1"/>
                <w:lang w:val="en-GB"/>
              </w:rPr>
            </w:pPr>
            <w:r w:rsidRPr="00A43ED8">
              <w:rPr>
                <w:bCs/>
                <w:color w:val="000000" w:themeColor="text1"/>
                <w:lang w:val="en-GB"/>
              </w:rPr>
              <w:t>36,46</w:t>
            </w:r>
          </w:p>
        </w:tc>
      </w:tr>
    </w:tbl>
    <w:p w:rsidR="005E5BAF" w:rsidRPr="00A43ED8" w:rsidRDefault="005E5BAF" w:rsidP="005E5BAF">
      <w:pPr>
        <w:spacing w:line="480" w:lineRule="auto"/>
        <w:rPr>
          <w:bCs/>
          <w:color w:val="00B0F0"/>
          <w:lang w:val="en-GB"/>
        </w:rPr>
      </w:pPr>
    </w:p>
    <w:tbl>
      <w:tblPr>
        <w:tblStyle w:val="Grilledetableauclaire1"/>
        <w:tblW w:w="0" w:type="auto"/>
        <w:tblInd w:w="5" w:type="dxa"/>
        <w:tblLook w:val="04A0" w:firstRow="1" w:lastRow="0" w:firstColumn="1" w:lastColumn="0" w:noHBand="0" w:noVBand="1"/>
      </w:tblPr>
      <w:tblGrid>
        <w:gridCol w:w="2122"/>
        <w:gridCol w:w="2126"/>
        <w:gridCol w:w="1984"/>
        <w:gridCol w:w="2127"/>
      </w:tblGrid>
      <w:tr w:rsidR="005E5BAF" w:rsidRPr="00A43ED8" w:rsidTr="005E5BAF">
        <w:tc>
          <w:tcPr>
            <w:tcW w:w="2122" w:type="dxa"/>
            <w:tcBorders>
              <w:top w:val="nil"/>
              <w:lef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bCs/>
                <w:lang w:val="en-GB"/>
              </w:rPr>
            </w:pPr>
          </w:p>
        </w:tc>
        <w:tc>
          <w:tcPr>
            <w:tcW w:w="2126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</w:rPr>
            </w:pPr>
            <w:r w:rsidRPr="00A43ED8">
              <w:rPr>
                <w:b/>
                <w:bCs/>
              </w:rPr>
              <w:t>Count</w:t>
            </w:r>
          </w:p>
        </w:tc>
        <w:tc>
          <w:tcPr>
            <w:tcW w:w="1984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</w:rPr>
            </w:pPr>
            <w:r w:rsidRPr="00A43ED8">
              <w:rPr>
                <w:b/>
                <w:bCs/>
              </w:rPr>
              <w:t>Average length</w:t>
            </w:r>
          </w:p>
        </w:tc>
        <w:tc>
          <w:tcPr>
            <w:tcW w:w="2127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</w:rPr>
            </w:pPr>
            <w:r w:rsidRPr="00A43ED8">
              <w:rPr>
                <w:b/>
                <w:bCs/>
              </w:rPr>
              <w:t>Total bases</w:t>
            </w:r>
          </w:p>
        </w:tc>
      </w:tr>
      <w:tr w:rsidR="005E5BAF" w:rsidRPr="00A43ED8" w:rsidTr="005E5BAF">
        <w:tc>
          <w:tcPr>
            <w:tcW w:w="2122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Reads</w:t>
            </w:r>
          </w:p>
        </w:tc>
        <w:tc>
          <w:tcPr>
            <w:tcW w:w="2126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1,388,469,937</w:t>
            </w:r>
          </w:p>
        </w:tc>
        <w:tc>
          <w:tcPr>
            <w:tcW w:w="1984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136.07</w:t>
            </w:r>
          </w:p>
        </w:tc>
        <w:tc>
          <w:tcPr>
            <w:tcW w:w="2127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188,933,666,558</w:t>
            </w:r>
          </w:p>
        </w:tc>
      </w:tr>
      <w:tr w:rsidR="005E5BAF" w:rsidRPr="00A43ED8" w:rsidTr="005E5BAF">
        <w:tc>
          <w:tcPr>
            <w:tcW w:w="2122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Matched</w:t>
            </w:r>
          </w:p>
        </w:tc>
        <w:tc>
          <w:tcPr>
            <w:tcW w:w="2126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1,240,281,960</w:t>
            </w:r>
          </w:p>
        </w:tc>
        <w:tc>
          <w:tcPr>
            <w:tcW w:w="1984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135.95</w:t>
            </w:r>
          </w:p>
        </w:tc>
        <w:tc>
          <w:tcPr>
            <w:tcW w:w="2127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168,617,807,287</w:t>
            </w:r>
          </w:p>
        </w:tc>
      </w:tr>
      <w:tr w:rsidR="005E5BAF" w:rsidRPr="00A43ED8" w:rsidTr="005E5BAF">
        <w:tc>
          <w:tcPr>
            <w:tcW w:w="2122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Not Matched</w:t>
            </w:r>
          </w:p>
        </w:tc>
        <w:tc>
          <w:tcPr>
            <w:tcW w:w="2126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148,187,977</w:t>
            </w:r>
          </w:p>
        </w:tc>
        <w:tc>
          <w:tcPr>
            <w:tcW w:w="1984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137.1</w:t>
            </w:r>
          </w:p>
        </w:tc>
        <w:tc>
          <w:tcPr>
            <w:tcW w:w="2127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20,315,859,271</w:t>
            </w:r>
          </w:p>
        </w:tc>
      </w:tr>
      <w:tr w:rsidR="005E5BAF" w:rsidRPr="00A43ED8" w:rsidTr="005E5BAF">
        <w:tc>
          <w:tcPr>
            <w:tcW w:w="2122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 xml:space="preserve">Contigs </w:t>
            </w:r>
            <w:r w:rsidRPr="00A43ED8">
              <w:rPr>
                <w:bCs/>
              </w:rPr>
              <w:t>(all)</w:t>
            </w:r>
          </w:p>
        </w:tc>
        <w:tc>
          <w:tcPr>
            <w:tcW w:w="2126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97,633</w:t>
            </w:r>
          </w:p>
        </w:tc>
        <w:tc>
          <w:tcPr>
            <w:tcW w:w="1984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6,012</w:t>
            </w:r>
          </w:p>
        </w:tc>
        <w:tc>
          <w:tcPr>
            <w:tcW w:w="2127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586,482,772</w:t>
            </w:r>
          </w:p>
        </w:tc>
      </w:tr>
      <w:tr w:rsidR="005E5BAF" w:rsidRPr="00A43ED8" w:rsidTr="005E5BAF">
        <w:tc>
          <w:tcPr>
            <w:tcW w:w="2122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lastRenderedPageBreak/>
              <w:t>Reads in pairs</w:t>
            </w:r>
          </w:p>
        </w:tc>
        <w:tc>
          <w:tcPr>
            <w:tcW w:w="2126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799,236,714</w:t>
            </w:r>
          </w:p>
        </w:tc>
        <w:tc>
          <w:tcPr>
            <w:tcW w:w="1984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286.81</w:t>
            </w:r>
          </w:p>
        </w:tc>
        <w:tc>
          <w:tcPr>
            <w:tcW w:w="2127" w:type="dxa"/>
            <w:vMerge w:val="restart"/>
            <w:tcBorders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</w:p>
        </w:tc>
      </w:tr>
      <w:tr w:rsidR="005E5BAF" w:rsidRPr="00A43ED8" w:rsidTr="005E5BAF">
        <w:tc>
          <w:tcPr>
            <w:tcW w:w="2122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Broken paired reads</w:t>
            </w:r>
          </w:p>
        </w:tc>
        <w:tc>
          <w:tcPr>
            <w:tcW w:w="2126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339,580,380</w:t>
            </w:r>
          </w:p>
        </w:tc>
        <w:tc>
          <w:tcPr>
            <w:tcW w:w="1984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133.13</w:t>
            </w:r>
          </w:p>
        </w:tc>
        <w:tc>
          <w:tcPr>
            <w:tcW w:w="2127" w:type="dxa"/>
            <w:vMerge/>
            <w:tcBorders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</w:p>
        </w:tc>
      </w:tr>
    </w:tbl>
    <w:p w:rsidR="005E5BAF" w:rsidRPr="00A43ED8" w:rsidRDefault="005E5BAF" w:rsidP="005E5BAF">
      <w:pPr>
        <w:spacing w:line="480" w:lineRule="auto"/>
        <w:rPr>
          <w:bCs/>
        </w:rPr>
      </w:pPr>
    </w:p>
    <w:tbl>
      <w:tblPr>
        <w:tblStyle w:val="Grilledetableauclaire1"/>
        <w:tblW w:w="0" w:type="auto"/>
        <w:tblLook w:val="04A0" w:firstRow="1" w:lastRow="0" w:firstColumn="1" w:lastColumn="0" w:noHBand="0" w:noVBand="1"/>
      </w:tblPr>
      <w:tblGrid>
        <w:gridCol w:w="2263"/>
        <w:gridCol w:w="2410"/>
        <w:gridCol w:w="2410"/>
      </w:tblGrid>
      <w:tr w:rsidR="005E5BAF" w:rsidRPr="00A43ED8" w:rsidTr="005E5BAF"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Nucleotide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</w:rPr>
            </w:pPr>
            <w:r w:rsidRPr="00A43ED8">
              <w:rPr>
                <w:b/>
                <w:bCs/>
              </w:rPr>
              <w:t>Count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/>
                <w:bCs/>
              </w:rPr>
            </w:pPr>
            <w:r w:rsidRPr="00A43ED8">
              <w:rPr>
                <w:b/>
                <w:bCs/>
              </w:rPr>
              <w:t xml:space="preserve">Frequency </w:t>
            </w:r>
            <w:r w:rsidRPr="00A43ED8">
              <w:rPr>
                <w:bCs/>
              </w:rPr>
              <w:t>(%)</w:t>
            </w:r>
          </w:p>
        </w:tc>
      </w:tr>
      <w:tr w:rsidR="005E5BAF" w:rsidRPr="00A43ED8" w:rsidTr="005E5BAF"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Adenine (A)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186,647,981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32</w:t>
            </w:r>
          </w:p>
        </w:tc>
      </w:tr>
      <w:tr w:rsidR="005E5BAF" w:rsidRPr="00A43ED8" w:rsidTr="005E5BAF"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Cytosine (C)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104,061,672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17.8</w:t>
            </w:r>
          </w:p>
        </w:tc>
      </w:tr>
      <w:tr w:rsidR="005E5BAF" w:rsidRPr="00A43ED8" w:rsidTr="005E5BAF"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Guanine (G)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104,082,746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17.8</w:t>
            </w:r>
          </w:p>
        </w:tc>
      </w:tr>
      <w:tr w:rsidR="005E5BAF" w:rsidRPr="00A43ED8" w:rsidTr="005E5BAF"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Thymine (T)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186,629,547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32</w:t>
            </w:r>
          </w:p>
        </w:tc>
      </w:tr>
      <w:tr w:rsidR="005E5BAF" w:rsidRPr="00A43ED8" w:rsidTr="005E5BAF">
        <w:tc>
          <w:tcPr>
            <w:tcW w:w="2263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Any nucleotide (N)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2451437</w:t>
            </w:r>
          </w:p>
        </w:tc>
        <w:tc>
          <w:tcPr>
            <w:tcW w:w="2410" w:type="dxa"/>
          </w:tcPr>
          <w:p w:rsidR="005E5BAF" w:rsidRPr="00A43ED8" w:rsidRDefault="005E5BAF" w:rsidP="005E5BAF">
            <w:pPr>
              <w:spacing w:line="480" w:lineRule="auto"/>
              <w:jc w:val="center"/>
              <w:rPr>
                <w:bCs/>
              </w:rPr>
            </w:pPr>
            <w:r w:rsidRPr="00A43ED8">
              <w:rPr>
                <w:bCs/>
              </w:rPr>
              <w:t>0.4</w:t>
            </w:r>
          </w:p>
        </w:tc>
      </w:tr>
    </w:tbl>
    <w:p w:rsidR="005E5BAF" w:rsidRPr="00A43ED8" w:rsidRDefault="005E5BAF" w:rsidP="005E5BAF">
      <w:pPr>
        <w:spacing w:line="480" w:lineRule="auto"/>
        <w:rPr>
          <w:bCs/>
        </w:rPr>
      </w:pPr>
    </w:p>
    <w:tbl>
      <w:tblPr>
        <w:tblStyle w:val="Grilledetableauclaire1"/>
        <w:tblW w:w="0" w:type="auto"/>
        <w:tblInd w:w="5" w:type="dxa"/>
        <w:tblLook w:val="04A0" w:firstRow="1" w:lastRow="0" w:firstColumn="1" w:lastColumn="0" w:noHBand="0" w:noVBand="1"/>
      </w:tblPr>
      <w:tblGrid>
        <w:gridCol w:w="1838"/>
        <w:gridCol w:w="1330"/>
      </w:tblGrid>
      <w:tr w:rsidR="005E5BAF" w:rsidRPr="00A43ED8" w:rsidTr="005E5BAF">
        <w:tc>
          <w:tcPr>
            <w:tcW w:w="1838" w:type="dxa"/>
            <w:tcBorders>
              <w:top w:val="nil"/>
              <w:lef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bCs/>
              </w:rPr>
            </w:pP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/>
                <w:bCs/>
              </w:rPr>
            </w:pPr>
            <w:r w:rsidRPr="00A43ED8">
              <w:rPr>
                <w:b/>
                <w:bCs/>
              </w:rPr>
              <w:t>Length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N75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4,360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N50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7,613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N25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13,225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Minimum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1,976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Maximum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76,768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 xml:space="preserve">Average 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6,036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 xml:space="preserve">Contig count </w:t>
            </w:r>
            <w:r w:rsidRPr="00A43ED8">
              <w:rPr>
                <w:bCs/>
              </w:rPr>
              <w:t>(PF)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96,738</w:t>
            </w:r>
          </w:p>
        </w:tc>
      </w:tr>
      <w:tr w:rsidR="005E5BAF" w:rsidRPr="00A43ED8" w:rsidTr="005E5BAF">
        <w:tc>
          <w:tcPr>
            <w:tcW w:w="1838" w:type="dxa"/>
          </w:tcPr>
          <w:p w:rsidR="005E5BAF" w:rsidRPr="00A43ED8" w:rsidRDefault="005E5BAF" w:rsidP="005E5BAF">
            <w:pPr>
              <w:spacing w:line="480" w:lineRule="auto"/>
              <w:rPr>
                <w:b/>
                <w:bCs/>
              </w:rPr>
            </w:pPr>
            <w:r w:rsidRPr="00A43ED8">
              <w:rPr>
                <w:b/>
                <w:bCs/>
              </w:rPr>
              <w:t>Total</w:t>
            </w:r>
          </w:p>
        </w:tc>
        <w:tc>
          <w:tcPr>
            <w:tcW w:w="1276" w:type="dxa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bCs/>
              </w:rPr>
            </w:pPr>
            <w:r w:rsidRPr="00A43ED8">
              <w:rPr>
                <w:bCs/>
              </w:rPr>
              <w:t>583,873,383</w:t>
            </w:r>
          </w:p>
        </w:tc>
      </w:tr>
    </w:tbl>
    <w:p w:rsidR="005E5BAF" w:rsidRPr="00A43ED8" w:rsidRDefault="005E5BAF" w:rsidP="005E5BAF">
      <w:pPr>
        <w:spacing w:line="480" w:lineRule="auto"/>
        <w:rPr>
          <w:bCs/>
        </w:rPr>
      </w:pPr>
    </w:p>
    <w:p w:rsidR="005E5BAF" w:rsidRPr="00A43ED8" w:rsidRDefault="005E5BAF" w:rsidP="005E5BAF">
      <w:pPr>
        <w:spacing w:line="480" w:lineRule="auto"/>
        <w:rPr>
          <w:bCs/>
        </w:rPr>
      </w:pPr>
    </w:p>
    <w:p w:rsidR="005E5BAF" w:rsidRPr="00A43ED8" w:rsidRDefault="005E5BAF" w:rsidP="005E5BAF">
      <w:pPr>
        <w:spacing w:line="480" w:lineRule="auto"/>
        <w:rPr>
          <w:color w:val="00B0F0"/>
        </w:rPr>
      </w:pPr>
      <w:r w:rsidRPr="00A43ED8">
        <w:rPr>
          <w:color w:val="00B0F0"/>
        </w:rPr>
        <w:br w:type="page"/>
      </w:r>
    </w:p>
    <w:p w:rsidR="005E5BAF" w:rsidRPr="00A43ED8" w:rsidRDefault="005E5BAF" w:rsidP="005E5BAF">
      <w:pPr>
        <w:spacing w:line="480" w:lineRule="auto"/>
        <w:rPr>
          <w:lang w:val="en-GB"/>
        </w:rPr>
      </w:pPr>
      <w:r w:rsidRPr="00A43ED8">
        <w:rPr>
          <w:color w:val="00B0F0"/>
          <w:lang w:val="en-GB"/>
        </w:rPr>
        <w:lastRenderedPageBreak/>
        <w:t>Table S2. Number of protein-coding contigs related to the innate immunity.</w:t>
      </w:r>
    </w:p>
    <w:tbl>
      <w:tblPr>
        <w:tblStyle w:val="TableGrid"/>
        <w:tblW w:w="9781" w:type="dxa"/>
        <w:tblLook w:val="04A0" w:firstRow="1" w:lastRow="0" w:firstColumn="1" w:lastColumn="0" w:noHBand="0" w:noVBand="1"/>
      </w:tblPr>
      <w:tblGrid>
        <w:gridCol w:w="2245"/>
        <w:gridCol w:w="5693"/>
        <w:gridCol w:w="1843"/>
      </w:tblGrid>
      <w:tr w:rsidR="005E5BAF" w:rsidRPr="00A43ED8" w:rsidTr="005E5BAF">
        <w:tc>
          <w:tcPr>
            <w:tcW w:w="2245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2F2F2" w:themeFill="background1" w:themeFillShade="F2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b/>
                <w:sz w:val="20"/>
                <w:szCs w:val="20"/>
                <w:lang w:val="en-GB"/>
              </w:rPr>
              <w:t>Immunity</w:t>
            </w:r>
          </w:p>
        </w:tc>
        <w:tc>
          <w:tcPr>
            <w:tcW w:w="569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2F2F2" w:themeFill="background1" w:themeFillShade="F2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b/>
                <w:sz w:val="20"/>
                <w:szCs w:val="20"/>
                <w:lang w:val="en-GB"/>
              </w:rPr>
              <w:t>Gene families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2F2F2" w:themeFill="background1" w:themeFillShade="F2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b/>
                <w:sz w:val="20"/>
                <w:szCs w:val="20"/>
                <w:lang w:val="en-GB"/>
              </w:rPr>
              <w:t>Number of</w:t>
            </w:r>
            <w:r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A43ED8">
              <w:rPr>
                <w:rFonts w:cstheme="minorHAnsi"/>
                <w:b/>
                <w:sz w:val="20"/>
                <w:szCs w:val="20"/>
                <w:lang w:val="en-GB"/>
              </w:rPr>
              <w:t>genes</w:t>
            </w:r>
          </w:p>
        </w:tc>
      </w:tr>
      <w:tr w:rsidR="005E5BAF" w:rsidRPr="00A43ED8" w:rsidTr="005E5BAF">
        <w:tc>
          <w:tcPr>
            <w:tcW w:w="2245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Pattern recognition </w:t>
            </w:r>
          </w:p>
        </w:tc>
        <w:tc>
          <w:tcPr>
            <w:tcW w:w="569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Toll-like receptors (TLRs)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</w:rPr>
            </w:pPr>
            <w:r w:rsidRPr="00A43ED8">
              <w:rPr>
                <w:rFonts w:cstheme="minorHAnsi"/>
                <w:sz w:val="20"/>
                <w:szCs w:val="20"/>
              </w:rPr>
              <w:t>27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receptors</w:t>
            </w: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Peptidoglycan recognition receptors (PGRPs)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</w:rPr>
              <w:t xml:space="preserve">and antimicrobial </w:t>
            </w: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Glucan Binding proteins (GNBPs)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</w:rPr>
              <w:t>peptides</w:t>
            </w: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Lectins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Collectins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A43ED8">
              <w:rPr>
                <w:rFonts w:cstheme="minorHAnsi"/>
                <w:sz w:val="20"/>
                <w:szCs w:val="20"/>
              </w:rPr>
              <w:t>Laminins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</w:rPr>
            </w:pPr>
            <w:r w:rsidRPr="00A43ED8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DDX helicases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MDA5 (interferon-induced with helicase-C domain 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Soluble scavenger receptor cysteine-rich peptides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Style w:val="Emphasis"/>
                <w:rFonts w:cstheme="minorHAnsi"/>
                <w:sz w:val="20"/>
                <w:szCs w:val="20"/>
                <w:lang w:val="en-GB"/>
              </w:rPr>
              <w:t>Cysteine</w:t>
            </w:r>
            <w:r w:rsidRPr="00A43ED8">
              <w:rPr>
                <w:rStyle w:val="st"/>
                <w:rFonts w:cstheme="minorHAnsi"/>
                <w:i/>
                <w:iCs/>
                <w:sz w:val="20"/>
                <w:szCs w:val="20"/>
                <w:lang w:val="en-GB"/>
              </w:rPr>
              <w:t>-</w:t>
            </w:r>
            <w:r w:rsidRPr="00A43ED8">
              <w:rPr>
                <w:rStyle w:val="Emphasis"/>
                <w:rFonts w:cstheme="minorHAnsi"/>
                <w:sz w:val="20"/>
                <w:szCs w:val="20"/>
                <w:lang w:val="en-GB"/>
              </w:rPr>
              <w:t>rich</w:t>
            </w:r>
            <w:r w:rsidRPr="00A43ED8">
              <w:rPr>
                <w:rStyle w:val="st"/>
                <w:rFonts w:cstheme="minorHAnsi"/>
                <w:i/>
                <w:iCs/>
                <w:sz w:val="20"/>
                <w:szCs w:val="20"/>
                <w:lang w:val="en-GB"/>
              </w:rPr>
              <w:t xml:space="preserve"> </w:t>
            </w:r>
            <w:r w:rsidRPr="00A43ED8">
              <w:rPr>
                <w:rStyle w:val="st"/>
                <w:rFonts w:cstheme="minorHAnsi"/>
                <w:sz w:val="20"/>
                <w:szCs w:val="20"/>
                <w:lang w:val="en-GB"/>
              </w:rPr>
              <w:t>secretory</w:t>
            </w:r>
            <w:r w:rsidRPr="00A43ED8">
              <w:rPr>
                <w:rStyle w:val="st"/>
                <w:rFonts w:cstheme="minorHAnsi"/>
                <w:i/>
                <w:iCs/>
                <w:sz w:val="20"/>
                <w:szCs w:val="20"/>
                <w:lang w:val="en-GB"/>
              </w:rPr>
              <w:t xml:space="preserve"> </w:t>
            </w:r>
            <w:r w:rsidRPr="00A43ED8">
              <w:rPr>
                <w:rStyle w:val="Emphasis"/>
                <w:rFonts w:cstheme="minorHAnsi"/>
                <w:sz w:val="20"/>
                <w:szCs w:val="20"/>
                <w:lang w:val="en-GB"/>
              </w:rPr>
              <w:t xml:space="preserve">proteins </w:t>
            </w:r>
            <w:r w:rsidRPr="00A43ED8">
              <w:rPr>
                <w:rStyle w:val="st"/>
                <w:rFonts w:cstheme="minorHAnsi"/>
                <w:sz w:val="20"/>
                <w:szCs w:val="20"/>
                <w:lang w:val="en-GB"/>
              </w:rPr>
              <w:t>(CRISPs and LCCL domain-2)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Style w:val="Emphasis"/>
                <w:rFonts w:cstheme="minorHAnsi"/>
                <w:sz w:val="20"/>
                <w:szCs w:val="20"/>
                <w:lang w:val="en-GB"/>
              </w:rPr>
              <w:t>Cysteine-rich venom protein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Style w:val="Emphasis"/>
                <w:rFonts w:cstheme="minorHAnsi"/>
                <w:i w:val="0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Bactericidal permeability-increasing protein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Lysosome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TLR pathway</w:t>
            </w:r>
          </w:p>
        </w:tc>
        <w:tc>
          <w:tcPr>
            <w:tcW w:w="5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MyD88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IRAK1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IRAK3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IRAK4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TRAF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</w:tr>
      <w:tr w:rsidR="005E5BAF" w:rsidRPr="00A43ED8" w:rsidTr="005E5BAF"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Transcription factors</w:t>
            </w:r>
          </w:p>
        </w:tc>
        <w:tc>
          <w:tcPr>
            <w:tcW w:w="5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NF-kB (c-Rel)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Interferon regulatory factor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Cytokines and </w:t>
            </w:r>
          </w:p>
        </w:tc>
        <w:tc>
          <w:tcPr>
            <w:tcW w:w="5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Interleukin (IL 17-like)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receptors</w:t>
            </w: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Interleukin 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Interferon regulatory factor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LPS-induced TNF (LITAF)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TNF super family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Macrophage migration inhibitory factor (MIF)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lastRenderedPageBreak/>
              <w:t>Complement system</w:t>
            </w:r>
          </w:p>
        </w:tc>
        <w:tc>
          <w:tcPr>
            <w:tcW w:w="5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1 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macrophage-expressed gene 1 protein-like (</w:t>
            </w:r>
            <w:r w:rsidRPr="00A43ED8">
              <w:rPr>
                <w:rStyle w:val="st"/>
                <w:rFonts w:cstheme="minorHAnsi"/>
                <w:sz w:val="20"/>
                <w:szCs w:val="20"/>
                <w:lang w:val="en-GB"/>
              </w:rPr>
              <w:t>IPR020864)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</w:tr>
      <w:tr w:rsidR="005E5BAF" w:rsidRPr="008D6121" w:rsidTr="005E5BAF"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Apoptosis &amp; autophagy</w:t>
            </w:r>
          </w:p>
        </w:tc>
        <w:tc>
          <w:tcPr>
            <w:tcW w:w="5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Caspases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13 </w:t>
            </w:r>
            <w:r w:rsidRPr="00A43ED8">
              <w:rPr>
                <w:rFonts w:cstheme="minorHAnsi"/>
                <w:sz w:val="18"/>
                <w:szCs w:val="18"/>
                <w:lang w:val="en-GB"/>
              </w:rPr>
              <w:t>(of which 2 with a CARD domain and 2 with a DED domain)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Apoptosis-inducing factor 1, mitochondrial-like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Inhibitor of apoptosis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BCl-2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Bax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DAMPs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</w:tr>
    </w:tbl>
    <w:p w:rsidR="005E5BAF" w:rsidRPr="00A43ED8" w:rsidRDefault="005E5BAF" w:rsidP="005E5BAF">
      <w:pPr>
        <w:spacing w:line="480" w:lineRule="auto"/>
        <w:rPr>
          <w:lang w:val="en-GB"/>
        </w:rPr>
      </w:pPr>
      <w:r w:rsidRPr="00A43ED8">
        <w:rPr>
          <w:lang w:val="en-GB"/>
        </w:rPr>
        <w:tab/>
      </w:r>
      <w:r w:rsidRPr="00A43ED8">
        <w:rPr>
          <w:lang w:val="en-GB"/>
        </w:rPr>
        <w:tab/>
      </w:r>
      <w:r w:rsidRPr="00A43ED8">
        <w:rPr>
          <w:lang w:val="en-GB"/>
        </w:rPr>
        <w:tab/>
      </w:r>
      <w:r w:rsidRPr="00A43ED8">
        <w:rPr>
          <w:lang w:val="en-GB"/>
        </w:rPr>
        <w:tab/>
      </w:r>
      <w:r w:rsidRPr="00A43ED8">
        <w:rPr>
          <w:lang w:val="en-GB"/>
        </w:rPr>
        <w:tab/>
      </w:r>
      <w:r w:rsidRPr="00A43ED8">
        <w:rPr>
          <w:lang w:val="en-GB"/>
        </w:rPr>
        <w:tab/>
      </w:r>
      <w:r w:rsidRPr="00A43ED8">
        <w:rPr>
          <w:lang w:val="en-GB"/>
        </w:rPr>
        <w:tab/>
      </w: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Default="005E5BAF" w:rsidP="005E5BAF">
      <w:pPr>
        <w:spacing w:line="480" w:lineRule="auto"/>
        <w:rPr>
          <w:bCs/>
          <w:lang w:val="en-GB"/>
        </w:rPr>
      </w:pPr>
    </w:p>
    <w:p w:rsidR="005E5BAF" w:rsidRDefault="005E5BAF" w:rsidP="005E5BAF">
      <w:pPr>
        <w:spacing w:line="480" w:lineRule="auto"/>
        <w:rPr>
          <w:bCs/>
          <w:lang w:val="en-GB"/>
        </w:rPr>
      </w:pPr>
    </w:p>
    <w:p w:rsidR="005E5BAF" w:rsidRDefault="005E5BAF" w:rsidP="005E5BAF">
      <w:pPr>
        <w:spacing w:line="480" w:lineRule="auto"/>
        <w:rPr>
          <w:bCs/>
          <w:lang w:val="en-GB"/>
        </w:rPr>
      </w:pPr>
    </w:p>
    <w:p w:rsidR="005E5BAF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jc w:val="both"/>
        <w:rPr>
          <w:color w:val="00B0F0"/>
          <w:lang w:val="en-GB"/>
        </w:rPr>
      </w:pPr>
      <w:r w:rsidRPr="00A43ED8">
        <w:rPr>
          <w:color w:val="00B0F0"/>
          <w:lang w:val="en-GB"/>
        </w:rPr>
        <w:lastRenderedPageBreak/>
        <w:t xml:space="preserve">Table S3. Number of protein-coding contigs related to the chemical defensome. 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119"/>
        <w:gridCol w:w="4394"/>
        <w:gridCol w:w="284"/>
        <w:gridCol w:w="1842"/>
      </w:tblGrid>
      <w:tr w:rsidR="005E5BAF" w:rsidRPr="00A43ED8" w:rsidTr="005E5BAF">
        <w:tc>
          <w:tcPr>
            <w:tcW w:w="311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2F2F2" w:themeFill="background1" w:themeFillShade="F2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b/>
                <w:sz w:val="20"/>
                <w:szCs w:val="20"/>
                <w:lang w:val="en-GB"/>
              </w:rPr>
              <w:t>Process categories</w:t>
            </w:r>
          </w:p>
        </w:tc>
        <w:tc>
          <w:tcPr>
            <w:tcW w:w="4678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2F2F2" w:themeFill="background1" w:themeFillShade="F2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b/>
                <w:sz w:val="20"/>
                <w:szCs w:val="20"/>
                <w:lang w:val="en-GB"/>
              </w:rPr>
              <w:t>Gene families</w:t>
            </w:r>
          </w:p>
        </w:tc>
        <w:tc>
          <w:tcPr>
            <w:tcW w:w="1842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F2F2F2" w:themeFill="background1" w:themeFillShade="F2"/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b/>
                <w:sz w:val="20"/>
                <w:szCs w:val="20"/>
                <w:lang w:val="en-GB"/>
              </w:rPr>
              <w:t>Number of genes</w:t>
            </w:r>
          </w:p>
        </w:tc>
      </w:tr>
      <w:tr w:rsidR="005E5BAF" w:rsidRPr="00A43ED8" w:rsidTr="005E5BAF">
        <w:tc>
          <w:tcPr>
            <w:tcW w:w="3119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Reductive and conjugative </w:t>
            </w:r>
          </w:p>
        </w:tc>
        <w:tc>
          <w:tcPr>
            <w:tcW w:w="439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Sulfotransferase </w:t>
            </w:r>
            <w:r w:rsidRPr="00A43ED8">
              <w:rPr>
                <w:rFonts w:cstheme="minorHAnsi"/>
                <w:i/>
                <w:sz w:val="20"/>
                <w:szCs w:val="20"/>
                <w:lang w:val="en-GB"/>
              </w:rPr>
              <w:t>(SULT)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28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biotransformation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Glycosyl-transferase </w:t>
            </w:r>
            <w:r w:rsidRPr="00A43ED8">
              <w:rPr>
                <w:rFonts w:cstheme="minorHAnsi"/>
                <w:i/>
                <w:sz w:val="20"/>
                <w:szCs w:val="20"/>
                <w:lang w:val="en-GB"/>
              </w:rPr>
              <w:t>(UGT)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Glucuronyl-transferase </w:t>
            </w:r>
            <w:r w:rsidRPr="00A43ED8">
              <w:rPr>
                <w:rFonts w:cstheme="minorHAnsi"/>
                <w:i/>
                <w:sz w:val="20"/>
                <w:szCs w:val="20"/>
                <w:lang w:val="en-GB"/>
              </w:rPr>
              <w:t>(UGT)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Epoxyde hydrolase (</w:t>
            </w:r>
            <w:r w:rsidRPr="00A43ED8">
              <w:rPr>
                <w:rStyle w:val="Emphasis"/>
                <w:rFonts w:cstheme="minorHAnsi"/>
                <w:sz w:val="20"/>
                <w:szCs w:val="20"/>
                <w:lang w:val="en-GB"/>
              </w:rPr>
              <w:t>EPHX)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Aldo/keto reductase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Gluthatione S-transferase </w:t>
            </w:r>
            <w:r w:rsidRPr="00A43ED8">
              <w:rPr>
                <w:rFonts w:cstheme="minorHAnsi"/>
                <w:i/>
                <w:sz w:val="20"/>
                <w:szCs w:val="20"/>
                <w:lang w:val="en-GB"/>
              </w:rPr>
              <w:t>(GST)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15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N-acetyl transferase (NAT)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</w:tr>
      <w:tr w:rsidR="005E5BAF" w:rsidRPr="00A43ED8" w:rsidTr="005E5BAF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Antioxydant proteins &amp; 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Catalase </w:t>
            </w:r>
            <w:r w:rsidRPr="00A43ED8">
              <w:rPr>
                <w:rFonts w:cstheme="minorHAnsi"/>
                <w:i/>
                <w:sz w:val="20"/>
                <w:szCs w:val="20"/>
                <w:lang w:val="en-GB"/>
              </w:rPr>
              <w:t>(CAT)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Metal detoxification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s-ES"/>
              </w:rPr>
            </w:pPr>
            <w:r w:rsidRPr="00A43ED8">
              <w:rPr>
                <w:rFonts w:cstheme="minorHAnsi"/>
                <w:sz w:val="20"/>
                <w:szCs w:val="20"/>
                <w:lang w:val="es-ES"/>
              </w:rPr>
              <w:t xml:space="preserve">Superoxide dismutase [Cu/Zn] </w:t>
            </w:r>
            <w:r w:rsidRPr="00A43ED8">
              <w:rPr>
                <w:rFonts w:cstheme="minorHAnsi"/>
                <w:i/>
                <w:sz w:val="20"/>
                <w:szCs w:val="20"/>
                <w:lang w:val="es-ES"/>
              </w:rPr>
              <w:t>(SOD)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Superoxide dismutase [Mn] </w:t>
            </w:r>
            <w:r w:rsidRPr="00A43ED8">
              <w:rPr>
                <w:rFonts w:cstheme="minorHAnsi"/>
                <w:i/>
                <w:sz w:val="20"/>
                <w:szCs w:val="20"/>
                <w:lang w:val="en-GB"/>
              </w:rPr>
              <w:t>(SOD)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Gluthatione peroxydase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Gluthatione synthase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Gluthatione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r w:rsidRPr="00A43ED8">
              <w:rPr>
                <w:rFonts w:cstheme="minorHAnsi"/>
                <w:sz w:val="20"/>
                <w:szCs w:val="20"/>
                <w:lang w:val="en-GB"/>
              </w:rPr>
              <w:t>reductase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Metallothionein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Heavy metal-binding protein HIP-like 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Ferritin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Ceruloplasmin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Biliverdin reductase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Heat shock proteins/factors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Hsp70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Hsp70 cognate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Hsp90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DnaJ (hsp40)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17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Sti1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Hsp70, mitochondrial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Hsp60, mitochondrial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Hsp10, mitochondrial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Hsf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Oxydative biotransformation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Aldehyde dehydrogenase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 xml:space="preserve">4 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Cytochrome P450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98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Flavin-monooxygenase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Efflux transporters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ABCA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ABCB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ABCC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ABCD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ABCF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ABCG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</w:tr>
      <w:tr w:rsidR="005E5BAF" w:rsidRPr="00A43ED8" w:rsidTr="005E5BAF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Nuclear receptors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Subfamily NR0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</w:rPr>
              <w:t>Dax1</w:t>
            </w:r>
          </w:p>
          <w:p w:rsidR="005E5BAF" w:rsidRPr="00A43ED8" w:rsidRDefault="005E5BAF" w:rsidP="005E5BAF">
            <w:pPr>
              <w:spacing w:line="480" w:lineRule="auto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Subfamily NR1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1" w:name="_Hlk13048982"/>
            <w:r w:rsidRPr="00A43ED8">
              <w:rPr>
                <w:rFonts w:cstheme="minorHAnsi"/>
                <w:sz w:val="20"/>
                <w:szCs w:val="20"/>
                <w:lang w:val="en-GB"/>
              </w:rPr>
              <w:t>Ecdysone receptor</w:t>
            </w:r>
            <w:bookmarkEnd w:id="1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PPAR</w:t>
            </w:r>
            <w:r w:rsidRPr="00A43ED8">
              <w:rPr>
                <w:rFonts w:ascii="Symbol" w:hAnsi="Symbol"/>
                <w:lang w:val="en-GB"/>
              </w:rPr>
              <w:t>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PPAR</w:t>
            </w:r>
            <w:r w:rsidRPr="00A43ED8">
              <w:rPr>
                <w:rFonts w:ascii="Symbol" w:hAnsi="Symbol"/>
                <w:lang w:val="en-GB"/>
              </w:rPr>
              <w:t>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PPAR</w:t>
            </w:r>
            <w:r w:rsidRPr="00A43ED8">
              <w:rPr>
                <w:rFonts w:ascii="Symbol" w:hAnsi="Symbol"/>
                <w:lang w:val="en-GB"/>
              </w:rPr>
              <w:t>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Retinoic acid receptor (RAR)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Style w:val="st"/>
                <w:rFonts w:cstheme="minorHAnsi"/>
                <w:sz w:val="20"/>
                <w:szCs w:val="20"/>
                <w:lang w:val="en-GB"/>
              </w:rPr>
              <w:t>Rev-ErbA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Orphan nuclear receptor (</w:t>
            </w:r>
            <w:r w:rsidRPr="00A43ED8">
              <w:rPr>
                <w:rStyle w:val="st"/>
                <w:rFonts w:cstheme="minorHAnsi"/>
                <w:sz w:val="20"/>
                <w:szCs w:val="20"/>
                <w:lang w:val="en-GB"/>
              </w:rPr>
              <w:t>PXR)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Subfamily NR2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NR2E1 (</w:t>
            </w:r>
            <w:r w:rsidRPr="00A43ED8">
              <w:rPr>
                <w:rStyle w:val="st"/>
                <w:rFonts w:cstheme="minorHAnsi"/>
                <w:sz w:val="20"/>
                <w:szCs w:val="20"/>
                <w:lang w:val="en-GB"/>
              </w:rPr>
              <w:t>TLX)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hepatocyte nuclear factor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Subfamily NR3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EER</w:t>
            </w:r>
            <w:r w:rsidRPr="00A43ED8">
              <w:rPr>
                <w:rFonts w:ascii="Symbol" w:hAnsi="Symbol"/>
                <w:lang w:val="en-GB"/>
              </w:rPr>
              <w:t>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Glucocorticoid receptor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Subfamily NR4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HR38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Subfamily NR5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Style w:val="st"/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NR5A</w:t>
            </w:r>
          </w:p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Other NR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AhR (class E basic helix-loop-helix protein 22)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CLOCK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ARNT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E5BAF" w:rsidRPr="00A43ED8" w:rsidTr="005E5BAF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Transcription factors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BACH1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MafK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HIF-1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Other hypoxia-related genes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Mtf1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Keap1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</w:tr>
      <w:tr w:rsidR="005E5BAF" w:rsidRPr="00A43ED8" w:rsidTr="005E5BAF">
        <w:tc>
          <w:tcPr>
            <w:tcW w:w="311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Nfe2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5E5BAF" w:rsidRPr="00A43ED8" w:rsidRDefault="005E5BAF" w:rsidP="005E5BAF">
            <w:pPr>
              <w:spacing w:line="480" w:lineRule="auto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A43ED8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</w:tr>
    </w:tbl>
    <w:p w:rsidR="005E5BAF" w:rsidRPr="00A43ED8" w:rsidRDefault="005E5BAF" w:rsidP="005E5BAF">
      <w:pPr>
        <w:spacing w:line="480" w:lineRule="auto"/>
        <w:rPr>
          <w:lang w:val="en-GB"/>
        </w:rPr>
      </w:pPr>
      <w:r w:rsidRPr="00A43ED8">
        <w:rPr>
          <w:lang w:val="en-GB"/>
        </w:rPr>
        <w:tab/>
      </w:r>
      <w:r w:rsidRPr="00A43ED8">
        <w:rPr>
          <w:lang w:val="en-GB"/>
        </w:rPr>
        <w:tab/>
      </w:r>
      <w:r w:rsidRPr="00A43ED8">
        <w:rPr>
          <w:lang w:val="en-GB"/>
        </w:rPr>
        <w:tab/>
      </w:r>
      <w:r w:rsidRPr="00A43ED8">
        <w:rPr>
          <w:lang w:val="en-GB"/>
        </w:rPr>
        <w:tab/>
      </w: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p w:rsidR="005E5BAF" w:rsidRPr="00A43ED8" w:rsidRDefault="005E5BAF" w:rsidP="005E5BAF">
      <w:pPr>
        <w:spacing w:line="480" w:lineRule="auto"/>
        <w:rPr>
          <w:bCs/>
          <w:color w:val="00B0F0"/>
          <w:lang w:val="en-GB"/>
        </w:rPr>
      </w:pPr>
      <w:r w:rsidRPr="00A43ED8">
        <w:rPr>
          <w:bCs/>
          <w:color w:val="00B0F0"/>
          <w:lang w:val="en-GB"/>
        </w:rPr>
        <w:br w:type="page"/>
      </w:r>
    </w:p>
    <w:p w:rsidR="005E5BAF" w:rsidRPr="00A43ED8" w:rsidRDefault="005E5BAF" w:rsidP="005E5BAF">
      <w:pPr>
        <w:spacing w:line="480" w:lineRule="auto"/>
        <w:rPr>
          <w:bCs/>
          <w:color w:val="00B0F0"/>
          <w:lang w:val="en-GB"/>
        </w:rPr>
        <w:sectPr w:rsidR="005E5BAF" w:rsidRPr="00A43ED8" w:rsidSect="005E5BAF">
          <w:footerReference w:type="default" r:id="rId7"/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:rsidR="005E5BAF" w:rsidRPr="00A43ED8" w:rsidRDefault="005E5BAF" w:rsidP="005E5BAF">
      <w:pPr>
        <w:spacing w:line="480" w:lineRule="auto"/>
        <w:rPr>
          <w:bCs/>
          <w:color w:val="00B0F0"/>
          <w:lang w:val="en-GB"/>
        </w:rPr>
      </w:pPr>
      <w:r w:rsidRPr="00A43ED8">
        <w:rPr>
          <w:bCs/>
          <w:color w:val="00B0F0"/>
          <w:lang w:val="en-GB"/>
        </w:rPr>
        <w:lastRenderedPageBreak/>
        <w:t>Table S4. Variant calling analysis.</w:t>
      </w:r>
    </w:p>
    <w:p w:rsidR="005E5BAF" w:rsidRPr="00A43ED8" w:rsidRDefault="005E5BAF" w:rsidP="005E5BAF">
      <w:pPr>
        <w:spacing w:line="480" w:lineRule="auto"/>
        <w:rPr>
          <w:bCs/>
          <w:lang w:val="en-GB"/>
        </w:rPr>
      </w:pPr>
    </w:p>
    <w:tbl>
      <w:tblPr>
        <w:tblStyle w:val="TableGrid"/>
        <w:tblW w:w="14742" w:type="dxa"/>
        <w:tblLook w:val="04A0" w:firstRow="1" w:lastRow="0" w:firstColumn="1" w:lastColumn="0" w:noHBand="0" w:noVBand="1"/>
      </w:tblPr>
      <w:tblGrid>
        <w:gridCol w:w="896"/>
        <w:gridCol w:w="622"/>
        <w:gridCol w:w="572"/>
        <w:gridCol w:w="1277"/>
        <w:gridCol w:w="587"/>
        <w:gridCol w:w="7426"/>
        <w:gridCol w:w="803"/>
        <w:gridCol w:w="2559"/>
      </w:tblGrid>
      <w:tr w:rsidR="005E5BAF" w:rsidRPr="008D6121" w:rsidTr="005E5BAF">
        <w:trPr>
          <w:trHeight w:val="165"/>
        </w:trPr>
        <w:tc>
          <w:tcPr>
            <w:tcW w:w="89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CHROM</w:t>
            </w:r>
          </w:p>
        </w:tc>
        <w:tc>
          <w:tcPr>
            <w:tcW w:w="62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57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127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ALT</w:t>
            </w:r>
          </w:p>
        </w:tc>
        <w:tc>
          <w:tcPr>
            <w:tcW w:w="58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QUAL</w:t>
            </w:r>
          </w:p>
        </w:tc>
        <w:tc>
          <w:tcPr>
            <w:tcW w:w="742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INFO</w:t>
            </w:r>
          </w:p>
        </w:tc>
        <w:tc>
          <w:tcPr>
            <w:tcW w:w="803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FORMAT</w:t>
            </w:r>
          </w:p>
        </w:tc>
        <w:tc>
          <w:tcPr>
            <w:tcW w:w="2559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PN-new_S1_R2_q30_bwt.sorted.bam</w:t>
            </w:r>
          </w:p>
        </w:tc>
      </w:tr>
      <w:tr w:rsidR="005E5BAF" w:rsidRPr="00A43ED8" w:rsidTr="005E5BAF">
        <w:trPr>
          <w:trHeight w:val="319"/>
        </w:trPr>
        <w:tc>
          <w:tcPr>
            <w:tcW w:w="89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Contig_66</w:t>
            </w:r>
          </w:p>
        </w:tc>
        <w:tc>
          <w:tcPr>
            <w:tcW w:w="62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7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AAAT</w:t>
            </w:r>
          </w:p>
        </w:tc>
        <w:tc>
          <w:tcPr>
            <w:tcW w:w="127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AAATGGGAAAT</w:t>
            </w:r>
          </w:p>
        </w:tc>
        <w:tc>
          <w:tcPr>
            <w:tcW w:w="58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742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INDEL;IDV=1;IMF=0.00452489;DP=221;VDB=1.20757e-12;SGB=-0.692067;MQSB=0.83135;MQ0F=0;AC=2;AN=2;DP4=0,0,11,9;MQ=40</w:t>
            </w:r>
          </w:p>
        </w:tc>
        <w:tc>
          <w:tcPr>
            <w:tcW w:w="803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GT:PL</w:t>
            </w:r>
          </w:p>
        </w:tc>
        <w:tc>
          <w:tcPr>
            <w:tcW w:w="2559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1/1:255,60,0</w:t>
            </w:r>
          </w:p>
        </w:tc>
      </w:tr>
      <w:tr w:rsidR="005E5BAF" w:rsidRPr="00A43ED8" w:rsidTr="005E5BAF">
        <w:trPr>
          <w:trHeight w:val="330"/>
        </w:trPr>
        <w:tc>
          <w:tcPr>
            <w:tcW w:w="89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Contig_66</w:t>
            </w:r>
          </w:p>
        </w:tc>
        <w:tc>
          <w:tcPr>
            <w:tcW w:w="62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18614</w:t>
            </w:r>
          </w:p>
        </w:tc>
        <w:tc>
          <w:tcPr>
            <w:tcW w:w="57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27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C</w:t>
            </w:r>
          </w:p>
        </w:tc>
        <w:tc>
          <w:tcPr>
            <w:tcW w:w="58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742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DP=1735;VDB=0.00102431;SGB=-0.693147;RPB=3.13516e-15;MQB=4.1025e-09;MQSB=3.65631e-13;BQB=0.948889;MQ0F=0;ICB=1;HOB=0.5;AC=1;AN=2;DP4=403,566,172,162;MQ=39</w:t>
            </w:r>
          </w:p>
        </w:tc>
        <w:tc>
          <w:tcPr>
            <w:tcW w:w="803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GT:PL</w:t>
            </w:r>
          </w:p>
        </w:tc>
        <w:tc>
          <w:tcPr>
            <w:tcW w:w="2559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0/1:143,0,255</w:t>
            </w:r>
          </w:p>
        </w:tc>
      </w:tr>
      <w:tr w:rsidR="005E5BAF" w:rsidRPr="00A43ED8" w:rsidTr="005E5BAF">
        <w:trPr>
          <w:trHeight w:val="319"/>
        </w:trPr>
        <w:tc>
          <w:tcPr>
            <w:tcW w:w="89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Contig_66</w:t>
            </w:r>
          </w:p>
        </w:tc>
        <w:tc>
          <w:tcPr>
            <w:tcW w:w="62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18629</w:t>
            </w:r>
          </w:p>
        </w:tc>
        <w:tc>
          <w:tcPr>
            <w:tcW w:w="57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C</w:t>
            </w:r>
          </w:p>
        </w:tc>
        <w:tc>
          <w:tcPr>
            <w:tcW w:w="127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T</w:t>
            </w:r>
          </w:p>
        </w:tc>
        <w:tc>
          <w:tcPr>
            <w:tcW w:w="58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99</w:t>
            </w:r>
          </w:p>
        </w:tc>
        <w:tc>
          <w:tcPr>
            <w:tcW w:w="742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DP=1645;VDB=0.00678981;SGB=-0.693147;RPB=1.24972e-06;MQB=3.63726e-29;MQSB=3.90431e-05;BQB=0.0813158;MQ0F=0;ICB=1;HOB=0.5;AC=1;AN=2;DP4=466,513,137,161;MQ=40</w:t>
            </w:r>
          </w:p>
        </w:tc>
        <w:tc>
          <w:tcPr>
            <w:tcW w:w="803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GT:PL</w:t>
            </w:r>
          </w:p>
        </w:tc>
        <w:tc>
          <w:tcPr>
            <w:tcW w:w="2559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0/1:133,0,255</w:t>
            </w:r>
          </w:p>
        </w:tc>
      </w:tr>
      <w:tr w:rsidR="005E5BAF" w:rsidRPr="00A43ED8" w:rsidTr="005E5BAF">
        <w:trPr>
          <w:trHeight w:val="330"/>
        </w:trPr>
        <w:tc>
          <w:tcPr>
            <w:tcW w:w="89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Contig_66</w:t>
            </w:r>
          </w:p>
        </w:tc>
        <w:tc>
          <w:tcPr>
            <w:tcW w:w="62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18647</w:t>
            </w:r>
          </w:p>
        </w:tc>
        <w:tc>
          <w:tcPr>
            <w:tcW w:w="57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  <w:tc>
          <w:tcPr>
            <w:tcW w:w="127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</w:t>
            </w:r>
          </w:p>
        </w:tc>
        <w:tc>
          <w:tcPr>
            <w:tcW w:w="58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742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DP=1559;VDB=8.97541e-05;SGB=-0.693147;RPB=0.54288;MQB=2.46024e-38;MQSB=0.993164;BQB=6.00232e-05;MQ0F=0;ICB=1;HOB=0.5;AC=1;AN=2;DP4=352,433,172,206;MQ=40</w:t>
            </w:r>
          </w:p>
        </w:tc>
        <w:tc>
          <w:tcPr>
            <w:tcW w:w="803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GT:PL</w:t>
            </w:r>
          </w:p>
        </w:tc>
        <w:tc>
          <w:tcPr>
            <w:tcW w:w="2559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0/1:244,0,255</w:t>
            </w:r>
          </w:p>
        </w:tc>
      </w:tr>
      <w:tr w:rsidR="005E5BAF" w:rsidRPr="00A43ED8" w:rsidTr="005E5BAF">
        <w:trPr>
          <w:trHeight w:val="330"/>
        </w:trPr>
        <w:tc>
          <w:tcPr>
            <w:tcW w:w="89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Contig_66</w:t>
            </w:r>
          </w:p>
        </w:tc>
        <w:tc>
          <w:tcPr>
            <w:tcW w:w="62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18677</w:t>
            </w:r>
          </w:p>
        </w:tc>
        <w:tc>
          <w:tcPr>
            <w:tcW w:w="57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</w:t>
            </w:r>
          </w:p>
        </w:tc>
        <w:tc>
          <w:tcPr>
            <w:tcW w:w="127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  <w:tc>
          <w:tcPr>
            <w:tcW w:w="58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742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DP=1067;VDB=7.40422e-32;SGB=-0.693147;RPB=0.65428;MQB=2.79887e-22;MQSB=0.604942;BQB=0.946848;MQ0F=0;ICB=1;HOB=0.5;AC=1;AN=2;DP4=309,201,127,153;MQ=40</w:t>
            </w:r>
          </w:p>
        </w:tc>
        <w:tc>
          <w:tcPr>
            <w:tcW w:w="803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GT:PL</w:t>
            </w:r>
          </w:p>
        </w:tc>
        <w:tc>
          <w:tcPr>
            <w:tcW w:w="2559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0/1:255,0,255</w:t>
            </w:r>
          </w:p>
        </w:tc>
      </w:tr>
      <w:tr w:rsidR="005E5BAF" w:rsidRPr="00A43ED8" w:rsidTr="005E5BAF">
        <w:trPr>
          <w:trHeight w:val="319"/>
        </w:trPr>
        <w:tc>
          <w:tcPr>
            <w:tcW w:w="89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Contig_66</w:t>
            </w:r>
          </w:p>
        </w:tc>
        <w:tc>
          <w:tcPr>
            <w:tcW w:w="62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18736</w:t>
            </w:r>
          </w:p>
        </w:tc>
        <w:tc>
          <w:tcPr>
            <w:tcW w:w="572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T</w:t>
            </w:r>
          </w:p>
        </w:tc>
        <w:tc>
          <w:tcPr>
            <w:tcW w:w="127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C</w:t>
            </w:r>
          </w:p>
        </w:tc>
        <w:tc>
          <w:tcPr>
            <w:tcW w:w="587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7426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  <w:lang w:val="en-GB"/>
              </w:rPr>
              <w:t>DP=414;VDB=0;SGB=-0.693147;RPB=0.0679321;MQB=1.15086e-11;MQSB=0.581019;BQB=0.407082;MQ0F=0;ICB=1;HOB=0.5;AC=1;AN=2;DP4=80,73,92,23;MQ=40</w:t>
            </w:r>
          </w:p>
        </w:tc>
        <w:tc>
          <w:tcPr>
            <w:tcW w:w="803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GT:PL</w:t>
            </w:r>
          </w:p>
        </w:tc>
        <w:tc>
          <w:tcPr>
            <w:tcW w:w="2559" w:type="dxa"/>
            <w:vAlign w:val="center"/>
          </w:tcPr>
          <w:p w:rsidR="005E5BAF" w:rsidRPr="00A43ED8" w:rsidRDefault="005E5BAF" w:rsidP="005E5BAF">
            <w:pPr>
              <w:spacing w:line="480" w:lineRule="auto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43ED8">
              <w:rPr>
                <w:rFonts w:cstheme="minorHAnsi"/>
                <w:color w:val="000000"/>
                <w:sz w:val="16"/>
                <w:szCs w:val="16"/>
              </w:rPr>
              <w:t>0/1:255,0,255</w:t>
            </w:r>
          </w:p>
        </w:tc>
      </w:tr>
    </w:tbl>
    <w:p w:rsidR="005E5BAF" w:rsidRDefault="005E5BAF" w:rsidP="005E5BAF">
      <w:pPr>
        <w:spacing w:line="480" w:lineRule="auto"/>
        <w:rPr>
          <w:bCs/>
          <w:lang w:val="en-GB"/>
        </w:rPr>
      </w:pPr>
    </w:p>
    <w:p w:rsidR="005E5BAF" w:rsidRDefault="005E5BAF" w:rsidP="005E5BAF">
      <w:pPr>
        <w:spacing w:line="480" w:lineRule="auto"/>
        <w:rPr>
          <w:bCs/>
          <w:lang w:val="en-GB"/>
        </w:rPr>
      </w:pPr>
    </w:p>
    <w:p w:rsidR="005E5BAF" w:rsidRPr="0038139E" w:rsidRDefault="005E5BAF" w:rsidP="005E5BAF">
      <w:pPr>
        <w:spacing w:line="480" w:lineRule="auto"/>
        <w:rPr>
          <w:bCs/>
          <w:lang w:val="en-GB"/>
        </w:rPr>
      </w:pPr>
    </w:p>
    <w:p w:rsidR="005E5BAF" w:rsidRDefault="005E5BAF"/>
    <w:sectPr w:rsidR="005E5B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18823688"/>
      <w:docPartObj>
        <w:docPartGallery w:val="Page Numbers (Bottom of Page)"/>
        <w:docPartUnique/>
      </w:docPartObj>
    </w:sdtPr>
    <w:sdtContent>
      <w:p w:rsidR="005E5BAF" w:rsidRDefault="005E5BAF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5E5BAF" w:rsidRDefault="005E5BA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BAF"/>
    <w:rsid w:val="005E5BAF"/>
    <w:rsid w:val="0092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75F9A"/>
  <w15:chartTrackingRefBased/>
  <w15:docId w15:val="{794561A3-F2A4-4C58-9EC2-02AFACBBE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E5BAF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5BAF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5E5BAF"/>
    <w:rPr>
      <w:i/>
      <w:iCs/>
    </w:rPr>
  </w:style>
  <w:style w:type="character" w:customStyle="1" w:styleId="st">
    <w:name w:val="st"/>
    <w:basedOn w:val="DefaultParagraphFont"/>
    <w:rsid w:val="005E5BAF"/>
  </w:style>
  <w:style w:type="table" w:styleId="TableGrid">
    <w:name w:val="Table Grid"/>
    <w:basedOn w:val="TableNormal"/>
    <w:uiPriority w:val="39"/>
    <w:rsid w:val="005E5BAF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etableauclaire1">
    <w:name w:val="Grille de tableau claire1"/>
    <w:basedOn w:val="TableNormal"/>
    <w:uiPriority w:val="40"/>
    <w:rsid w:val="005E5BAF"/>
    <w:pPr>
      <w:spacing w:after="0" w:line="240" w:lineRule="auto"/>
    </w:pPr>
    <w:rPr>
      <w:lang w:val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5E5B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5BAF"/>
    <w:rPr>
      <w:lang w:val="fr-FR"/>
    </w:rPr>
  </w:style>
  <w:style w:type="character" w:styleId="LineNumber">
    <w:name w:val="line number"/>
    <w:basedOn w:val="DefaultParagraphFont"/>
    <w:uiPriority w:val="99"/>
    <w:semiHidden/>
    <w:unhideWhenUsed/>
    <w:rsid w:val="005E5BAF"/>
  </w:style>
  <w:style w:type="paragraph" w:styleId="NoSpacing">
    <w:name w:val="No Spacing"/>
    <w:uiPriority w:val="1"/>
    <w:qFormat/>
    <w:rsid w:val="005E5BAF"/>
    <w:pPr>
      <w:spacing w:after="0" w:line="240" w:lineRule="auto"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qb.cshl.edu/genomescope/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877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2019-09-30T13:15:00Z</dcterms:created>
  <dcterms:modified xsi:type="dcterms:W3CDTF">2019-09-30T13:39:00Z</dcterms:modified>
</cp:coreProperties>
</file>